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1372" w:leader="none"/>
        </w:tabs>
        <w:suppressAutoHyphens w:val="true"/>
        <w:overflowPunct w:val="true"/>
        <w:bidi w:val="0"/>
        <w:spacing w:lineRule="exact" w:line="317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Чек-лист «Индикаторы эффективности» </w:t>
        <w:br/>
      </w:r>
      <w:r>
        <w:rPr>
          <w:rFonts w:ascii="Times New Roman" w:hAnsi="Times New Roman"/>
          <w:sz w:val="22"/>
          <w:szCs w:val="22"/>
        </w:rPr>
        <w:t>(оценка процесса и результата) реализации корпоративных программ УЗР</w:t>
      </w:r>
    </w:p>
    <w:p>
      <w:pPr>
        <w:pStyle w:val="Normal"/>
        <w:widowControl w:val="false"/>
        <w:tabs>
          <w:tab w:val="clear" w:pos="708"/>
          <w:tab w:val="left" w:pos="1372" w:leader="none"/>
        </w:tabs>
        <w:spacing w:lineRule="exact" w:line="317" w:before="0" w:after="0"/>
        <w:ind w:left="880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lineRule="auto" w:line="276" w:before="57" w:after="0"/>
        <w:ind w:hanging="0" w:left="0" w:right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2"/>
          <w:szCs w:val="22"/>
          <w:u w:val="none"/>
          <w:shd w:fill="auto" w:val="clear"/>
          <w:lang w:val="ru-RU" w:eastAsia="en-US" w:bidi="ar-SA"/>
        </w:rPr>
        <w:t>Сроки (периодичность) оценки — 1 раз в год. С направлением заполненных чек-листов</w:t>
        <w:br/>
        <w:t xml:space="preserve">в ГБУЗ «СОЦОЗМП» до 30 января года, следующего за отчетным, на адрес электронной почты </w:t>
      </w:r>
      <w:hyperlink r:id="rId2">
        <w:r>
          <w:rPr>
            <w:rStyle w:val="Hyperlink"/>
            <w:rFonts w:eastAsia="Calibri" w:cs="Times New Roman" w:ascii="Times New Roman" w:hAnsi="Times New Roman"/>
            <w:b w:val="false"/>
            <w:bCs w:val="false"/>
            <w:color w:val="000000"/>
            <w:kern w:val="0"/>
            <w:sz w:val="22"/>
            <w:szCs w:val="22"/>
            <w:u w:val="none"/>
            <w:shd w:fill="auto" w:val="clear"/>
            <w:lang w:val="ru-RU" w:eastAsia="en-US" w:bidi="ar-SA"/>
          </w:rPr>
          <w:t>socozmp@sakhalin.gov.ru</w:t>
        </w:r>
      </w:hyperlink>
      <w:r>
        <w:rPr>
          <w:rStyle w:val="Hyperlink"/>
          <w:rFonts w:eastAsia="Calibri" w:cs="Times New Roman" w:ascii="Times New Roman" w:hAnsi="Times New Roman"/>
          <w:b w:val="false"/>
          <w:bCs w:val="false"/>
          <w:color w:val="000000"/>
          <w:kern w:val="0"/>
          <w:sz w:val="22"/>
          <w:szCs w:val="22"/>
          <w:u w:val="none"/>
          <w:shd w:fill="auto" w:val="clear"/>
          <w:lang w:val="ru-RU" w:eastAsia="en-US" w:bidi="ar-SA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76" w:before="57" w:after="0"/>
        <w:ind w:hanging="0" w:left="0" w:right="0"/>
        <w:jc w:val="both"/>
        <w:rPr>
          <w:rFonts w:ascii="Times New Roman" w:hAnsi="Times New Roman" w:eastAsia="Calibri" w:cs="Times New Roman"/>
          <w:color w:val="000000"/>
          <w:kern w:val="0"/>
          <w:sz w:val="22"/>
          <w:szCs w:val="22"/>
          <w:u w:val="none"/>
          <w:shd w:fill="FFFF00" w:val="clear"/>
          <w:lang w:val="ru-RU" w:eastAsia="en-US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2"/>
          <w:szCs w:val="22"/>
          <w:u w:val="none"/>
          <w:shd w:fill="FFFF00" w:val="clear"/>
          <w:lang w:val="ru-RU" w:eastAsia="en-US" w:bidi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ИНДИКАТОРЫ ЭФФЕКТИВНОСТИ РЕАЛИЗАЦИИ КОРПОРАТИВНЫХ ПРОГРАММ </w:t>
        <w:br/>
        <w:t xml:space="preserve">__________________________________________________________________ </w:t>
      </w:r>
      <w:bookmarkStart w:id="0" w:name="_GoBack_Копия_1_Копия_1"/>
      <w:bookmarkEnd w:id="0"/>
      <w:r>
        <w:rPr>
          <w:rFonts w:cs="Times New Roman" w:ascii="Times New Roman" w:hAnsi="Times New Roman"/>
          <w:b/>
          <w:sz w:val="22"/>
          <w:szCs w:val="22"/>
        </w:rPr>
        <w:t xml:space="preserve">ЗА ПЕРИОД  </w:t>
      </w:r>
      <w:r>
        <w:rPr>
          <w:rFonts w:cs="Times New Roman" w:ascii="Times New Roman" w:hAnsi="Times New Roman"/>
          <w:b/>
          <w:sz w:val="22"/>
          <w:szCs w:val="22"/>
          <w:u w:val="single"/>
        </w:rPr>
        <w:t xml:space="preserve">12 месяцев </w:t>
      </w:r>
      <w:r>
        <w:rPr>
          <w:rFonts w:cs="Times New Roman" w:ascii="Times New Roman" w:hAnsi="Times New Roman"/>
          <w:b/>
          <w:sz w:val="22"/>
          <w:szCs w:val="22"/>
        </w:rPr>
        <w:t xml:space="preserve"> 202</w:t>
      </w:r>
      <w:r>
        <w:rPr>
          <w:rFonts w:cs="Times New Roman" w:ascii="Times New Roman" w:hAnsi="Times New Roman"/>
          <w:b/>
          <w:sz w:val="22"/>
          <w:szCs w:val="22"/>
        </w:rPr>
        <w:t>_</w:t>
      </w:r>
      <w:r>
        <w:rPr>
          <w:rFonts w:cs="Times New Roman" w:ascii="Times New Roman" w:hAnsi="Times New Roman"/>
          <w:b/>
          <w:sz w:val="22"/>
          <w:szCs w:val="22"/>
        </w:rPr>
        <w:t xml:space="preserve"> г.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2"/>
          <w:szCs w:val="22"/>
          <w:shd w:fill="FFFF00" w:val="clear"/>
        </w:rPr>
        <w:t xml:space="preserve">   </w:t>
      </w:r>
      <w:r>
        <w:rPr>
          <w:rFonts w:cs="Times New Roman" w:ascii="Times New Roman" w:hAnsi="Times New Roman"/>
          <w:b/>
          <w:sz w:val="22"/>
          <w:szCs w:val="22"/>
          <w:shd w:fill="FFFF00" w:val="clear"/>
        </w:rPr>
        <w:t>(название !организации/предприятия! ГО «Город Южно-Сахалинск»)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Style w:val="af1"/>
        <w:tblW w:w="9773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59"/>
        <w:gridCol w:w="7524"/>
        <w:gridCol w:w="1690"/>
      </w:tblGrid>
      <w:tr>
        <w:trPr>
          <w:trHeight w:val="285" w:hRule="atLeast"/>
        </w:trPr>
        <w:tc>
          <w:tcPr>
            <w:tcW w:w="977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244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Краткосрочные индикаторы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244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</w:tr>
      <w:tr>
        <w:trPr>
          <w:trHeight w:val="552" w:hRule="atLeast"/>
        </w:trPr>
        <w:tc>
          <w:tcPr>
            <w:tcW w:w="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244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-262" w:right="-24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Профилактические мероприятия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Выполнение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за 12 месяцев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В рабочую группу предприятия входят в том числе: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-представитель высшего руководства,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-специалист отделения/отдела профилактики государственного учреждения здравоохранения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Рабочая группа провела заседания не реже чем 1 раз в 6 месяцев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Наличие отдельного бюджета на реализацию программы (Да /Нет) (Если ответ «Да»,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указать сумму)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Проведен опрос-анкетирование на оценку факторов риска ХНИЗ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на платформе АТРИЯ (Да (указать % анкетированных) /Нет (если</w:t>
              <w:br/>
              <w:t>не анкетировались))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Проведена оценка социальной инфраструктуры = условий труда, СОУТ (специальная оценка условий труда)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Поставлены в программе цели, направленные на снижение факторов риска (Да/Нет):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-краткосрочные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-среднесрочные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-долгосрочные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*(см. пояснение)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Сформирован оперативный план минимум из 8 мероприятий на локацию</w:t>
              <w:br/>
              <w:t>в год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Реализуются мероприятия, направленные на повышение уровня грамотности о вопросах здоровья у работников не менее 1 мероприятия в год (тренинги, семинары)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Реализуются мероприятия, направленные на формирование оздоровительной инфраструктуры на рабочем месте не менее 1 мероприятия в год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Реализуются мероприятия, направленные на выявление факторов риска не менее 4 мероприятий в год (медицинские скрининг-площадки, соц. опросы, повторное анкетирование)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Снижение числа случаев и количества дней временной нетрудоспособности за период по сравнению с аналогичным периодом прошлого года (Да-отобразить в процентах!/Нет)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Число случаев временной утраты трудоспособности на 100 работающих в год: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bidi="ru-RU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ru-RU"/>
              </w:rPr>
              <w:t>Число случаев временной утраты трудоспособности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 xml:space="preserve">           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Средняя численность работающих                 * 100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lang w:val="ru-RU" w:eastAsia="en-US" w:bidi="ar-SA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Число дней временной утраты трудоспособности на 100 работающих в год: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bidi="ru-RU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ru-RU"/>
              </w:rPr>
              <w:t>Число дней временной утраты трудоспособности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 xml:space="preserve">           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Средняя численность работающих                 * 100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Наличие внутрикорпоративного сайта/канала/корпоративных СМИ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 xml:space="preserve">Количество публикаций на внутрикорпоративном сайте/ </w:t>
              <w:br/>
              <w:t>в корпоративных СМИ/социальных сетях компании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 w:val="false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Количество посетителей/просмотров страницы, посвященной ЗОЖ,</w:t>
              <w:br/>
              <w:t>на внутрикорпоративном сайте. Статистика сайта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 w:val="false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 xml:space="preserve">Доля сотрудников, прошедших диспансеризацию </w:t>
              <w:br/>
              <w:t>и профилактический медицинский осмотр (% от общего количества сотрудников организации)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 w:val="false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Доля сотрудников, привитых от гриппа</w:t>
              <w:tab/>
              <w:t>(% от общего количества сотрудников организации)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2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 w:val="false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Внесены коррективы в проведение мероприятий по необходимости или</w:t>
              <w:br/>
              <w:t>по решению рабочей группы (Да/Нет)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</w:tr>
      <w:tr>
        <w:trPr>
          <w:trHeight w:val="70" w:hRule="atLeast"/>
        </w:trPr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75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ru-RU"/>
              </w:rPr>
              <w:t>Социальный пакет включает ДМС, путевки в лечебно-оздоровительные учреждения, бесплатные занятия спортом.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</w:tr>
      <w:tr>
        <w:trPr>
          <w:trHeight w:val="70" w:hRule="atLeast"/>
        </w:trPr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75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ru-RU"/>
              </w:rPr>
              <w:t>На предприятии действует медкабинет или медсанчасть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</w:tr>
      <w:tr>
        <w:trPr>
          <w:trHeight w:val="70" w:hRule="atLeast"/>
        </w:trPr>
        <w:tc>
          <w:tcPr>
            <w:tcW w:w="55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75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ru-RU"/>
              </w:rPr>
              <w:t>Показатели, связанные с ЗОЖ, учтены в КПЭ руководителей</w:t>
            </w:r>
          </w:p>
        </w:tc>
        <w:tc>
          <w:tcPr>
            <w:tcW w:w="1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</w:tr>
    </w:tbl>
    <w:p>
      <w:pPr>
        <w:pStyle w:val="Normal"/>
        <w:spacing w:lineRule="auto" w:line="240"/>
        <w:ind w:left="-142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>
        <w:rPr>
          <w:rFonts w:cs="Times New Roman" w:ascii="Times New Roman" w:hAnsi="Times New Roman"/>
          <w:sz w:val="22"/>
          <w:szCs w:val="22"/>
          <w:lang w:bidi="ru-RU"/>
        </w:rPr>
      </w:r>
    </w:p>
    <w:p>
      <w:pPr>
        <w:pStyle w:val="Normal"/>
        <w:spacing w:lineRule="auto" w:line="240"/>
        <w:ind w:left="-142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>
        <w:rPr>
          <w:rFonts w:cs="Times New Roman" w:ascii="Times New Roman" w:hAnsi="Times New Roman"/>
          <w:sz w:val="22"/>
          <w:szCs w:val="22"/>
          <w:lang w:bidi="ru-RU"/>
        </w:rPr>
      </w:r>
    </w:p>
    <w:tbl>
      <w:tblPr>
        <w:tblStyle w:val="af1"/>
        <w:tblW w:w="9720" w:type="dxa"/>
        <w:jc w:val="left"/>
        <w:tblInd w:w="5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93"/>
        <w:gridCol w:w="3015"/>
        <w:gridCol w:w="2812"/>
      </w:tblGrid>
      <w:tr>
        <w:trPr/>
        <w:tc>
          <w:tcPr>
            <w:tcW w:w="389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Ответственный за реализацию корпоративной программы:</w:t>
            </w:r>
          </w:p>
        </w:tc>
        <w:tc>
          <w:tcPr>
            <w:tcW w:w="301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single"/>
                <w:lang w:bidi="ru-RU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ru-RU"/>
              </w:rPr>
              <w:t>__________________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подпись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bidi="ru-RU"/>
              </w:rPr>
            </w:r>
          </w:p>
        </w:tc>
        <w:tc>
          <w:tcPr>
            <w:tcW w:w="281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single"/>
                <w:lang w:bidi="ru-RU"/>
              </w:rPr>
            </w:r>
          </w:p>
          <w:p>
            <w:pPr>
              <w:pStyle w:val="ListParagraph"/>
              <w:widowControl/>
              <w:suppressAutoHyphens w:val="true"/>
              <w:overflowPunct w:val="true"/>
              <w:bidi w:val="0"/>
              <w:spacing w:lineRule="auto" w:line="240" w:before="0" w:after="0"/>
              <w:ind w:hanging="0" w:left="227" w:right="17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ru-RU"/>
              </w:rPr>
              <w:t>___________________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Ф.И.О</w:t>
            </w:r>
          </w:p>
        </w:tc>
      </w:tr>
      <w:tr>
        <w:trPr/>
        <w:tc>
          <w:tcPr>
            <w:tcW w:w="389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bidi="ru-RU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Руководитель организации: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bidi="ru-RU"/>
              </w:rPr>
            </w:r>
          </w:p>
        </w:tc>
        <w:tc>
          <w:tcPr>
            <w:tcW w:w="301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single"/>
                <w:lang w:bidi="ru-RU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ru-RU"/>
              </w:rPr>
              <w:t>__________________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подпись, печать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1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bidi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single"/>
                <w:lang w:bidi="ru-RU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ru-RU"/>
              </w:rPr>
              <w:t>_______________________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ru-RU"/>
              </w:rPr>
              <w:t>Ф.И.О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>
        <w:rPr>
          <w:rFonts w:cs="Times New Roman" w:ascii="Times New Roman" w:hAnsi="Times New Roman"/>
          <w:sz w:val="22"/>
          <w:szCs w:val="22"/>
          <w:lang w:bidi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4"/>
          <w:lang w:bidi="ru-RU"/>
        </w:rPr>
        <w:t xml:space="preserve">*Цели: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0"/>
          <w:szCs w:val="24"/>
          <w:lang w:bidi="ru-RU"/>
        </w:rPr>
        <w:t>краткосрочные</w:t>
      </w:r>
      <w:r>
        <w:rPr>
          <w:rFonts w:cs="Times New Roman" w:ascii="Times New Roman" w:hAnsi="Times New Roman"/>
          <w:sz w:val="20"/>
          <w:szCs w:val="24"/>
          <w:lang w:bidi="ru-RU"/>
        </w:rPr>
        <w:t xml:space="preserve"> цели (1-2 года) должны оценивать процесс внедрения мероприятий</w:t>
        <w:br/>
        <w:t>и ориентироваться на достижение «промежуточных» показателей (отношения, знаний, умений, навыков работников или групп риска, удовлетворенности и т.п.), изменение уровня профессиональной компетенции специалистов, вовлеченных</w:t>
        <w:br/>
        <w:t>в программу и пр. Краткосрочные цели могут служить не только показателем эффективности программы в ближайший период времени, но и быть индикатором развития всей программы в дальнейшем. Пример формулирования краткосрочной цели: увеличить долю работников, посещающих занятия физкультурных секций с …% до …% (или на …%); снизить долю курящих работников с …% до…% (или на …%) и др.)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0"/>
          <w:szCs w:val="24"/>
          <w:lang w:bidi="ru-RU"/>
        </w:rPr>
        <w:t>среднесрочные</w:t>
      </w:r>
      <w:r>
        <w:rPr>
          <w:rFonts w:cs="Times New Roman" w:ascii="Times New Roman" w:hAnsi="Times New Roman"/>
          <w:sz w:val="20"/>
          <w:szCs w:val="24"/>
          <w:lang w:bidi="ru-RU"/>
        </w:rPr>
        <w:t xml:space="preserve"> цели (2-3 года) наряду с «промежуточными» индикаторами могут включать и оценку процесса</w:t>
        <w:br/>
        <w:t>и результата реализации программы. Пример формулирования среднесрочной цели: увеличить охват работников предприятия (или групп риска) сезонной вакцинацией против гриппа с …% до …% и др.)</w:t>
      </w:r>
    </w:p>
    <w:p>
      <w:pPr>
        <w:pStyle w:val="ListParagraph"/>
        <w:ind w:firstLine="709" w:lef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0"/>
          <w:szCs w:val="24"/>
          <w:lang w:bidi="ru-RU"/>
        </w:rPr>
        <w:t>долгосрочные</w:t>
      </w:r>
      <w:r>
        <w:rPr>
          <w:rFonts w:cs="Times New Roman" w:ascii="Times New Roman" w:hAnsi="Times New Roman"/>
          <w:sz w:val="20"/>
          <w:szCs w:val="24"/>
          <w:lang w:bidi="ru-RU"/>
        </w:rPr>
        <w:t xml:space="preserve"> цели (3-5 и более лет) корпоративных программ направлены на улучшение показателей здоровья работающих. Поэтому в период 3-5 и более лет от начала программы можно ожидать изменения показателей здоровья, прогноза заболевания и включать в оценку результативности программы уже и эти показатели. Вместе с тем, регистрация</w:t>
        <w:br/>
        <w:t xml:space="preserve">и анализ показателей здоровья работающих должны быть на протяжении всего периода программы. </w:t>
      </w:r>
    </w:p>
    <w:p>
      <w:pPr>
        <w:pStyle w:val="ListParagraph"/>
        <w:spacing w:before="0" w:after="16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0"/>
          <w:szCs w:val="24"/>
          <w:lang w:bidi="ru-RU"/>
        </w:rPr>
        <w:t>Пример формулирования долгосрочной цели: снизить долю частоты длительно болеющих работников</w:t>
        <w:br/>
        <w:t>с …% до …% (или на …%)).</w:t>
      </w:r>
    </w:p>
    <w:sectPr>
      <w:headerReference w:type="default" r:id="rId3"/>
      <w:type w:val="nextPage"/>
      <w:pgSz w:w="11906" w:h="16838"/>
      <w:pgMar w:left="567" w:right="707" w:gutter="0" w:header="284" w:top="509" w:footer="0" w:bottom="765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355"/>
        <w:tab w:val="center" w:pos="4677" w:leader="none"/>
        <w:tab w:val="right" w:pos="10063" w:leader="none"/>
      </w:tabs>
      <w:rPr>
        <w:rFonts w:ascii="Times New Roman" w:hAnsi="Times New Roman" w:cs="Times New Roman"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/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/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  <w:rPr/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  <w:rPr/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  <w:rPr/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  <w:rPr/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/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  <w:rPr/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20cf1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f71cd6"/>
    <w:rPr/>
  </w:style>
  <w:style w:type="character" w:styleId="Style16" w:customStyle="1">
    <w:name w:val="Нижний колонтитул Знак"/>
    <w:basedOn w:val="DefaultParagraphFont"/>
    <w:uiPriority w:val="99"/>
    <w:qFormat/>
    <w:rsid w:val="00f71cd6"/>
    <w:rPr/>
  </w:style>
  <w:style w:type="character" w:styleId="Hyperlink">
    <w:name w:val="Hyperlink"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764af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20c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f71c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f71c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 w:customStyle="1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Caption11">
    <w:name w:val="caption11"/>
    <w:basedOn w:val="Normal"/>
    <w:qFormat/>
    <w:pPr>
      <w:widowControl/>
      <w:suppressAutoHyphens w:val="true"/>
      <w:bidi w:val="0"/>
      <w:spacing w:lineRule="auto" w:line="252" w:before="120" w:after="120"/>
      <w:jc w:val="left"/>
    </w:pPr>
    <w:rPr>
      <w:rFonts w:cs="Lohit Devanagari"/>
      <w:i/>
      <w:iCs/>
      <w:color w:val="auto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0764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ocozmp@sakhalin.gov.ru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2910</TotalTime>
  <Application>LibreOffice/7.6.7.2$Linux_X86_64 LibreOffice_project/60$Build-2</Application>
  <AppVersion>15.0000</AppVersion>
  <Pages>2</Pages>
  <Words>610</Words>
  <Characters>4346</Characters>
  <CharactersWithSpaces>4952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Абрамец Маргарита Олеговна</dc:creator>
  <dc:description/>
  <dc:language>ru-RU</dc:language>
  <cp:lastModifiedBy/>
  <dcterms:modified xsi:type="dcterms:W3CDTF">2026-01-20T12:08:14Z</dcterms:modified>
  <cp:revision>189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